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52" w:rsidRPr="003B0C4B" w:rsidRDefault="00D01652" w:rsidP="003B0C4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ТРЕБОВАНИЯ К ПРЕДМЕТУ ЗАКУПКИ И ПОСТАВЩИКУ</w:t>
      </w:r>
    </w:p>
    <w:p w:rsidR="00D01652" w:rsidRPr="00D40A66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D40A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val="en-US" w:eastAsia="ru-RU"/>
        </w:rPr>
        <w:t>I</w:t>
      </w:r>
      <w:r w:rsidRPr="00D40A66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. Требования к предмету закупки</w:t>
      </w:r>
    </w:p>
    <w:p w:rsidR="00D01652" w:rsidRPr="003B0C4B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1. Поставка запасных частей к </w:t>
      </w:r>
      <w:proofErr w:type="spellStart"/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дробометной</w:t>
      </w:r>
      <w:proofErr w:type="spellEnd"/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 xml:space="preserve"> установке COGEIM STL 1600/8TR-3089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2. Требования к качеству и техническим характеристикам товара, к размеру, упаковке и иные требования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определяются заказчиком непосредственно при размещении заявки.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Cs/>
          <w:color w:val="0F1115"/>
          <w:sz w:val="26"/>
          <w:szCs w:val="26"/>
          <w:lang w:eastAsia="ru-RU"/>
        </w:rPr>
        <w:t>3. Условия отгрузки:</w:t>
      </w:r>
    </w:p>
    <w:p w:rsidR="00D01652" w:rsidRPr="00AA783A" w:rsidRDefault="00D01652" w:rsidP="00D40A6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самовывоз </w:t>
      </w:r>
      <w:r w:rsidR="002F625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склад Поставщика (доставка до Терминала ТК Заказчика)</w:t>
      </w:r>
    </w:p>
    <w:p w:rsidR="00D01652" w:rsidRPr="00AA783A" w:rsidRDefault="00D01652" w:rsidP="00D40A6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доставка по адресам:</w:t>
      </w:r>
    </w:p>
    <w:p w:rsidR="00D01652" w:rsidRPr="00AA783A" w:rsidRDefault="00D01652" w:rsidP="00D40A6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Республика Татарстан, г. Набережные Челны, 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Производственный </w:t>
      </w:r>
      <w:proofErr w:type="spellStart"/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</w:t>
      </w:r>
      <w:proofErr w:type="spellEnd"/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-д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, 1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0</w:t>
      </w:r>
    </w:p>
    <w:p w:rsidR="00D01652" w:rsidRPr="00AA783A" w:rsidRDefault="00D01652" w:rsidP="00D40A6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567" w:hanging="284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Республика Татарстан, г. Набережные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Челны, Автосборочный проезд, 16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Срок поставки:</w:t>
      </w:r>
      <w:r w:rsidR="002F625F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 партиями, не позднее </w:t>
      </w:r>
      <w:r w:rsidR="00CA42B8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31</w:t>
      </w:r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.0</w:t>
      </w:r>
      <w:r w:rsidR="00CA42B8">
        <w:rPr>
          <w:rFonts w:ascii="Times New Roman" w:eastAsia="Times New Roman" w:hAnsi="Times New Roman" w:cs="Times New Roman"/>
          <w:color w:val="0F1115"/>
          <w:sz w:val="26"/>
          <w:szCs w:val="26"/>
          <w:lang w:val="en-US" w:eastAsia="ru-RU"/>
        </w:rPr>
        <w:t>5</w:t>
      </w:r>
      <w:bookmarkStart w:id="0" w:name="_GoBack"/>
      <w:bookmarkEnd w:id="0"/>
      <w:r w:rsidR="003B0C4B" w:rsidRPr="003B0C4B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.2026 г</w:t>
      </w:r>
    </w:p>
    <w:p w:rsidR="00D01652" w:rsidRPr="00AA783A" w:rsidRDefault="00D01652" w:rsidP="00D0165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Условия оплаты: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отсрочка в течение 45 дней после поставки</w:t>
      </w:r>
    </w:p>
    <w:p w:rsidR="003B0C4B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4. Цена</w:t>
      </w: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 формируется с учетом расходов на перевозку, страхование, уплату, налогов и других обязательных платежей.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II. Требования к Поставщику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1. Основные требования: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правоспособность, создание и регистрация в установленном порядке;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соответствие требованиям, устанавливаемым в соответствии с законодательством РФ к лицам, осуществляющим поставки товаров, выполнение работ, оказание услуг, являющихся предметом закупки;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непроведение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неприостановление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 xml:space="preserve"> деятельности контрагента в порядке, предусмотренном Кодексом РФ об административных правонарушениях, на день подачи заявки в целях участия в закупках;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отсутствие сведений о контрагенте,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реестре недобросовестных поставщиков, предусмотренном ст. 5 Федерального закона № 223-ФЗ и Федеральным законом № 44-ФЗ;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лицо, являющееся руководителем юридического лица не должно иметь действующую дисквалификацию, ограничения по службе либо запрет заниматься профессиональной или иной деятельностью;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финансово-хозяйственная деятельность потенциального поставщика не должна создавать высокие налоговые риски для Общества и/или быть направленным на получение необоснованной налоговой выгоды;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lastRenderedPageBreak/>
        <w:t xml:space="preserve">в отношении участника закупки не должны присутствовать в совокупности следующие </w:t>
      </w:r>
      <w:proofErr w:type="spellStart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комплаенс</w:t>
      </w:r>
      <w:proofErr w:type="spellEnd"/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-риски – контрагент создан менее 1 года назад; собственник или руководитель в течение последних 3 лет был собственником с долей владения более 30% или руководителем в компании, реорганизованной в форме слияния либо присоединения, либо ликвидированной по решению регистрирующего органа; контрагент является посредником либо компанией, специально созданной для ведения деятельности с Обществом (проверка особенностей деятельности контрагента);</w:t>
      </w:r>
    </w:p>
    <w:p w:rsidR="00D01652" w:rsidRPr="00AA783A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регистрация в качестве участника закупки путем заполнения анкеты потенциального поставщика на официальном сайте Общества в сети «Интернет», либо регистрация на ЭТП (если закупка осуществляется на ЭТП).</w:t>
      </w:r>
    </w:p>
    <w:p w:rsidR="00D01652" w:rsidRDefault="00D01652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Поставщик гарантирует, что поставляемый им товар является новым.</w:t>
      </w:r>
    </w:p>
    <w:p w:rsidR="002F625F" w:rsidRPr="00AA783A" w:rsidRDefault="002F625F" w:rsidP="00D40A6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88684C">
        <w:rPr>
          <w:rStyle w:val="a4"/>
          <w:rFonts w:ascii="Times New Roman" w:hAnsi="Times New Roman" w:cs="Times New Roman"/>
          <w:b w:val="0"/>
          <w:color w:val="0F1115"/>
          <w:sz w:val="26"/>
          <w:szCs w:val="26"/>
        </w:rPr>
        <w:t>обязательный выезд на место ознакомления с оборудованием</w:t>
      </w:r>
      <w:r w:rsidRPr="0088684C">
        <w:rPr>
          <w:rStyle w:val="a4"/>
          <w:rFonts w:ascii="Times New Roman" w:hAnsi="Times New Roman" w:cs="Times New Roman"/>
          <w:color w:val="0F1115"/>
          <w:sz w:val="26"/>
          <w:szCs w:val="26"/>
        </w:rPr>
        <w:t>:</w:t>
      </w:r>
      <w:r w:rsidRPr="0088684C">
        <w:rPr>
          <w:rFonts w:ascii="Times New Roman" w:hAnsi="Times New Roman" w:cs="Times New Roman"/>
          <w:color w:val="0F1115"/>
          <w:sz w:val="26"/>
          <w:szCs w:val="26"/>
        </w:rPr>
        <w:t> до подачи своего коммерческого предложения поставщик обязан произвести выезд по адресу: Республика Татарстан, г. Набережные Челны, Автосборочный проезд, 16, для личного ознакомления с техническим состоянием, условиями эксплуатации, особенностями монтажа, наладк</w:t>
      </w:r>
      <w:r>
        <w:rPr>
          <w:rFonts w:ascii="Times New Roman" w:hAnsi="Times New Roman" w:cs="Times New Roman"/>
          <w:color w:val="0F1115"/>
          <w:sz w:val="26"/>
          <w:szCs w:val="26"/>
        </w:rPr>
        <w:t xml:space="preserve">и и иными характеристиками </w:t>
      </w:r>
      <w:proofErr w:type="spellStart"/>
      <w:r>
        <w:rPr>
          <w:rFonts w:ascii="Times New Roman" w:hAnsi="Times New Roman" w:cs="Times New Roman"/>
          <w:color w:val="0F1115"/>
          <w:sz w:val="26"/>
          <w:szCs w:val="26"/>
        </w:rPr>
        <w:t>дробе</w:t>
      </w:r>
      <w:r w:rsidRPr="0088684C">
        <w:rPr>
          <w:rFonts w:ascii="Times New Roman" w:hAnsi="Times New Roman" w:cs="Times New Roman"/>
          <w:color w:val="0F1115"/>
          <w:sz w:val="26"/>
          <w:szCs w:val="26"/>
        </w:rPr>
        <w:t>метной</w:t>
      </w:r>
      <w:proofErr w:type="spellEnd"/>
      <w:r w:rsidRPr="0088684C">
        <w:rPr>
          <w:rFonts w:ascii="Times New Roman" w:hAnsi="Times New Roman" w:cs="Times New Roman"/>
          <w:color w:val="0F1115"/>
          <w:sz w:val="26"/>
          <w:szCs w:val="26"/>
        </w:rPr>
        <w:t xml:space="preserve"> установки, являющейся предметом закупки. Факт выезда подтверждается актом осмотра, подписанным представителем заказчика, либо отметкой заказчика в заявке участника. Отсутствие документального подтверждения выезда является основанием для отклонения коммерческого предложения.</w:t>
      </w:r>
    </w:p>
    <w:p w:rsidR="00D01652" w:rsidRPr="00AA783A" w:rsidRDefault="00D01652" w:rsidP="003B0C4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2. Дополнительные требования: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должен являться производителем, официальным представителем производителя либо дилером (при закупке оборудования - официальный системный партнёр, разработчик интеллектуальных решений);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должен обладать достаточными ресурсами для выполнения обязательств по поставке товаров, работ и услуг;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потенциальный поставщик не должен быть связан с другими участниками закупки. Под связанными участниками закупки понимаются участники закупки, находящиеся под прямым или косвенным контролем одних и тех же физических лиц;</w:t>
      </w:r>
    </w:p>
    <w:p w:rsidR="00D01652" w:rsidRPr="00AA783A" w:rsidRDefault="00D01652" w:rsidP="00D40A6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7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 отношении потенциального поставщика, его учредителей и руководителей не возбуждены уголовные дела по основаниям, связанным с производственной деятельностью, имеющей отношение к предмету закупки, либо коррупционного характера;</w:t>
      </w:r>
    </w:p>
    <w:p w:rsidR="003B0C4B" w:rsidRPr="003B0C4B" w:rsidRDefault="003B0C4B" w:rsidP="003B0C4B">
      <w:pPr>
        <w:jc w:val="both"/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</w:pPr>
    </w:p>
    <w:p w:rsidR="003B0C4B" w:rsidRPr="003B0C4B" w:rsidRDefault="00D01652" w:rsidP="003B0C4B">
      <w:pPr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3B0C4B">
        <w:rPr>
          <w:rFonts w:ascii="Times New Roman" w:eastAsia="Times New Roman" w:hAnsi="Times New Roman" w:cs="Times New Roman"/>
          <w:b/>
          <w:bCs/>
          <w:color w:val="0F1115"/>
          <w:sz w:val="26"/>
          <w:szCs w:val="26"/>
          <w:lang w:eastAsia="ru-RU"/>
        </w:rPr>
        <w:t>3. Примечание:</w:t>
      </w:r>
    </w:p>
    <w:p w:rsidR="00EC24CD" w:rsidRPr="003B0C4B" w:rsidRDefault="00D01652" w:rsidP="00D40A66">
      <w:pPr>
        <w:ind w:firstLine="708"/>
        <w:jc w:val="both"/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</w:pPr>
      <w:r w:rsidRPr="00AA783A">
        <w:rPr>
          <w:rFonts w:ascii="Times New Roman" w:eastAsia="Times New Roman" w:hAnsi="Times New Roman" w:cs="Times New Roman"/>
          <w:color w:val="0F1115"/>
          <w:sz w:val="26"/>
          <w:szCs w:val="26"/>
          <w:lang w:eastAsia="ru-RU"/>
        </w:rPr>
        <w:t>Все требования к участнику закупок могут быть также установлены в документации о закупке к соисполнителям (субподрядчикам, субпоставщикам), привлекаемым участником закупки для исполнения договора с Заказчиком. Ответственность за соответствие всех привлекаемых субпоставщиков (субподрядчиков, соисполнителей), независимо от выполняемого ими объема поставок, работ, услуг, требованиям, указанным в документации о закупке, в том числе наличия у них разрешающих документов, несет участник процедуры закупки.</w:t>
      </w:r>
    </w:p>
    <w:p w:rsidR="003B0C4B" w:rsidRPr="003B0C4B" w:rsidRDefault="003B0C4B" w:rsidP="003B0C4B">
      <w:pPr>
        <w:jc w:val="both"/>
        <w:rPr>
          <w:sz w:val="26"/>
          <w:szCs w:val="26"/>
        </w:rPr>
      </w:pPr>
    </w:p>
    <w:p w:rsidR="003B0C4B" w:rsidRPr="003B0C4B" w:rsidRDefault="003B0C4B" w:rsidP="003B0C4B">
      <w:pPr>
        <w:jc w:val="both"/>
        <w:rPr>
          <w:rFonts w:ascii="Times New Roman" w:hAnsi="Times New Roman" w:cs="Times New Roman"/>
          <w:sz w:val="26"/>
          <w:szCs w:val="26"/>
        </w:rPr>
      </w:pPr>
      <w:r w:rsidRPr="003B0C4B">
        <w:rPr>
          <w:rFonts w:ascii="Times New Roman" w:hAnsi="Times New Roman" w:cs="Times New Roman"/>
          <w:sz w:val="26"/>
          <w:szCs w:val="26"/>
        </w:rPr>
        <w:lastRenderedPageBreak/>
        <w:t>Организатор закупки:</w:t>
      </w:r>
    </w:p>
    <w:p w:rsidR="003B0C4B" w:rsidRPr="003B0C4B" w:rsidRDefault="003B0C4B" w:rsidP="003B0C4B">
      <w:pPr>
        <w:jc w:val="both"/>
        <w:rPr>
          <w:rFonts w:ascii="Times New Roman" w:hAnsi="Times New Roman" w:cs="Times New Roman"/>
          <w:sz w:val="26"/>
          <w:szCs w:val="26"/>
        </w:rPr>
      </w:pPr>
      <w:r w:rsidRPr="003B0C4B">
        <w:rPr>
          <w:rFonts w:ascii="Times New Roman" w:hAnsi="Times New Roman" w:cs="Times New Roman"/>
          <w:sz w:val="26"/>
          <w:szCs w:val="26"/>
        </w:rPr>
        <w:t>Директор по коммерции</w:t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B0C4B">
        <w:rPr>
          <w:rFonts w:ascii="Times New Roman" w:hAnsi="Times New Roman" w:cs="Times New Roman"/>
          <w:sz w:val="26"/>
          <w:szCs w:val="26"/>
        </w:rPr>
        <w:t>В.Е. Кункель</w:t>
      </w:r>
    </w:p>
    <w:sectPr w:rsidR="003B0C4B" w:rsidRPr="003B0C4B" w:rsidSect="003B0C4B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551BB"/>
    <w:multiLevelType w:val="multilevel"/>
    <w:tmpl w:val="563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5333B"/>
    <w:multiLevelType w:val="multilevel"/>
    <w:tmpl w:val="33B4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470ED"/>
    <w:multiLevelType w:val="multilevel"/>
    <w:tmpl w:val="FA8A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52"/>
    <w:rsid w:val="002F625F"/>
    <w:rsid w:val="003B0C4B"/>
    <w:rsid w:val="00CA42B8"/>
    <w:rsid w:val="00D01652"/>
    <w:rsid w:val="00D40A66"/>
    <w:rsid w:val="00E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5BF0"/>
  <w15:chartTrackingRefBased/>
  <w15:docId w15:val="{5A15031D-EB2A-4FCA-B79E-D481789F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652"/>
    <w:pPr>
      <w:ind w:left="720"/>
      <w:contextualSpacing/>
    </w:pPr>
  </w:style>
  <w:style w:type="character" w:styleId="a4">
    <w:name w:val="Strong"/>
    <w:basedOn w:val="a0"/>
    <w:uiPriority w:val="22"/>
    <w:qFormat/>
    <w:rsid w:val="002F6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D50EA-D23D-4D85-8B5D-80105CAC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kamaz\kunkelve</dc:creator>
  <cp:keywords/>
  <dc:description/>
  <cp:lastModifiedBy>User</cp:lastModifiedBy>
  <cp:revision>3</cp:revision>
  <dcterms:created xsi:type="dcterms:W3CDTF">2026-04-23T09:52:00Z</dcterms:created>
  <dcterms:modified xsi:type="dcterms:W3CDTF">2026-04-23T11:33:00Z</dcterms:modified>
</cp:coreProperties>
</file>